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1e3a5f"/>
          <w:sz w:val="36"/>
          <w:szCs w:val="36"/>
        </w:rPr>
        <w:t xml:space="preserve">Colorado CARE Act</w:t>
      </w:r>
    </w:p>
    <w:p>
      <w:pPr>
        <w:spacing w:after="360"/>
        <w:jc w:val="center"/>
      </w:pPr>
      <w:r>
        <w:rPr>
          <w:color w:val="64748b"/>
          <w:sz w:val="26"/>
          <w:szCs w:val="26"/>
        </w:rPr>
        <w:t xml:space="preserve">Legislative Fact Sheet: Addressing Common Questions</w:t>
      </w:r>
    </w:p>
    <w:p>
      <w:pPr>
        <w:spacing w:after="80"/>
      </w:pPr>
      <w:r>
        <w:rPr>
          <w:b/>
          <w:bCs/>
          <w:color w:val="1e3a5f"/>
          <w:sz w:val="26"/>
          <w:szCs w:val="26"/>
        </w:rPr>
        <w:t xml:space="preserve">Q: Does this require employers to provide paid leave?</w:t>
      </w:r>
    </w:p>
    <w:p>
      <w:pPr>
        <w:spacing w:after="240"/>
      </w:pPr>
      <w:r>
        <w:rPr>
          <w:sz w:val="24"/>
          <w:szCs w:val="24"/>
        </w:rPr>
        <w:t xml:space="preserve">A: No. The CARE Act requires reasonable accommodations, which may include unpaid leave, schedule adjustments, or remote work. It does not mandate paid time off beyond existing state/federal requirements. Employers control whether accommodations are paid or unpaid.</w:t>
      </w:r>
    </w:p>
    <w:p>
      <w:pPr>
        <w:spacing w:after="80"/>
      </w:pPr>
      <w:r>
        <w:rPr>
          <w:b/>
          <w:bCs/>
          <w:color w:val="1e3a5f"/>
          <w:sz w:val="26"/>
          <w:szCs w:val="26"/>
        </w:rPr>
        <w:t xml:space="preserve">Q: What if an accommodation would create undue hardship for my business?</w:t>
      </w:r>
    </w:p>
    <w:p>
      <w:pPr>
        <w:spacing w:after="240"/>
      </w:pPr>
      <w:r>
        <w:rPr>
          <w:sz w:val="24"/>
          <w:szCs w:val="24"/>
        </w:rPr>
        <w:t xml:space="preserve">A: Employers can deny accommodations that create "undue hardship"—significant difficulty or expense relative to business size and resources. This is the same standard used for disability accommodations under the ADA. Small businesses have a lower bar for demonstrating hardship than large corporations.</w:t>
      </w:r>
    </w:p>
    <w:p>
      <w:pPr>
        <w:spacing w:after="80"/>
      </w:pPr>
      <w:r>
        <w:rPr>
          <w:b/>
          <w:bCs/>
          <w:color w:val="1e3a5f"/>
          <w:sz w:val="26"/>
          <w:szCs w:val="26"/>
        </w:rPr>
        <w:t xml:space="preserve">Q: How is this different from FMLA?</w:t>
      </w:r>
    </w:p>
    <w:p>
      <w:pPr>
        <w:spacing w:after="240"/>
      </w:pPr>
      <w:r>
        <w:rPr>
          <w:sz w:val="24"/>
          <w:szCs w:val="24"/>
        </w:rPr>
        <w:t xml:space="preserve">A: FMLA provides unpaid leave for specific family/medical situations but doesn't prohibit discrimination or require ongoing accommodations. The CARE Act prohibits discrimination based on caregiver status and requires reasonable accommodations—complementing, not replacing, FMLA. An employee can use both protections.</w:t>
      </w:r>
    </w:p>
    <w:p>
      <w:pPr>
        <w:spacing w:after="80"/>
      </w:pPr>
      <w:r>
        <w:rPr>
          <w:b/>
          <w:bCs/>
          <w:color w:val="1e3a5f"/>
          <w:sz w:val="26"/>
          <w:szCs w:val="26"/>
        </w:rPr>
        <w:t xml:space="preserve">Q: Will this increase frivolous lawsuits against employers?</w:t>
      </w:r>
    </w:p>
    <w:p>
      <w:pPr>
        <w:spacing w:after="240"/>
      </w:pPr>
      <w:r>
        <w:rPr>
          <w:sz w:val="24"/>
          <w:szCs w:val="24"/>
        </w:rPr>
        <w:t xml:space="preserve">A: No. The CARE Act uses the same complaint process, burden of proof, and legal standards as existing CADA protections. Employers retain all defenses: undue hardship, legitimate business necessity, and performance-based decisions. Colorado's CCRD already screens complaints for merit before investigation.</w:t>
      </w:r>
    </w:p>
    <w:p>
      <w:pPr>
        <w:spacing w:after="80"/>
      </w:pPr>
      <w:r>
        <w:rPr>
          <w:b/>
          <w:bCs/>
          <w:color w:val="1e3a5f"/>
          <w:sz w:val="26"/>
          <w:szCs w:val="26"/>
        </w:rPr>
        <w:t xml:space="preserve">Q: What prevents employees from lying about caregiving responsibilities?</w:t>
      </w:r>
    </w:p>
    <w:p>
      <w:pPr>
        <w:spacing w:after="240"/>
      </w:pPr>
      <w:r>
        <w:rPr>
          <w:sz w:val="24"/>
          <w:szCs w:val="24"/>
        </w:rPr>
        <w:t xml:space="preserve">A: Employers can request documentation of care recipient's condition and caregiving responsibilities, just as they can for FMLA or ADA accommodations. Fraudulent claims are subject to dismissal and potential legal consequences.</w:t>
      </w:r>
    </w:p>
    <w:p>
      <w:pPr>
        <w:spacing w:after="80"/>
      </w:pPr>
      <w:r>
        <w:rPr>
          <w:b/>
          <w:bCs/>
          <w:color w:val="1e3a5f"/>
          <w:sz w:val="26"/>
          <w:szCs w:val="26"/>
        </w:rPr>
        <w:t xml:space="preserve">Q: Does this apply to small businesses?</w:t>
      </w:r>
    </w:p>
    <w:p>
      <w:pPr>
        <w:spacing w:after="240"/>
      </w:pPr>
      <w:r>
        <w:rPr>
          <w:sz w:val="24"/>
          <w:szCs w:val="24"/>
        </w:rPr>
        <w:t xml:space="preserve">A: The CARE Act applies to employers covered by CADA. Importantly, undue hardship analysis accounts for employer size—small businesses have a lower bar for demonstrating hardship than large corporations. A schedule change that's "reasonable" for a 500-person company might be "undue hardship" for a 5-person business.</w:t>
      </w:r>
    </w:p>
    <w:p>
      <w:pPr>
        <w:pageBreakBefore/>
      </w:pPr>
      <w:r>
        <w:br/>
        <w:t xml:space="preserve"/>
      </w:r>
    </w:p>
    <w:p>
      <w:pPr>
        <w:spacing w:after="80"/>
      </w:pPr>
      <w:r>
        <w:rPr>
          <w:b/>
          <w:bCs/>
          <w:color w:val="1e3a5f"/>
          <w:sz w:val="26"/>
          <w:szCs w:val="26"/>
        </w:rPr>
        <w:t xml:space="preserve">Q: What happens if a caregiver's needs conflict with operational requirements?</w:t>
      </w:r>
    </w:p>
    <w:p>
      <w:pPr>
        <w:spacing w:after="240"/>
      </w:pPr>
      <w:r>
        <w:rPr>
          <w:sz w:val="24"/>
          <w:szCs w:val="24"/>
        </w:rPr>
        <w:t xml:space="preserve">A: Employer and employee engage in an interactive process to find feasible alternative accommodations. If no reasonable accommodation exists without undue hardship, the employer can deny the request. The CARE Act doesn't require employers to fundamentally alter business operations or eliminate essential job functions.</w:t>
      </w:r>
    </w:p>
    <w:p>
      <w:pPr>
        <w:spacing w:after="80"/>
      </w:pPr>
      <w:r>
        <w:rPr>
          <w:b/>
          <w:bCs/>
          <w:color w:val="1e3a5f"/>
          <w:sz w:val="26"/>
          <w:szCs w:val="26"/>
        </w:rPr>
        <w:t xml:space="preserve">Q: How much will this cost employers?</w:t>
      </w:r>
    </w:p>
    <w:p>
      <w:pPr>
        <w:spacing w:after="240"/>
      </w:pPr>
      <w:r>
        <w:rPr>
          <w:sz w:val="24"/>
          <w:szCs w:val="24"/>
        </w:rPr>
        <w:t xml:space="preserve">A: Most accommodations (schedule flexibility, remote work options) cost little to nothing. Employers save significantly on turnover costs—recruitment, training, and lost productivity—when retaining experienced workers. National studies show accommodation costs average $500 or less per employee, while turnover costs average 50-200% of annual salary.</w:t>
      </w:r>
    </w:p>
    <w:p>
      <w:pPr>
        <w:spacing w:after="80"/>
      </w:pPr>
      <w:r>
        <w:rPr>
          <w:b/>
          <w:bCs/>
          <w:color w:val="1e3a5f"/>
          <w:sz w:val="26"/>
          <w:szCs w:val="26"/>
        </w:rPr>
        <w:t xml:space="preserve">Q: Can employers still enforce performance standards?</w:t>
      </w:r>
    </w:p>
    <w:p>
      <w:pPr>
        <w:spacing w:after="240"/>
      </w:pPr>
      <w:r>
        <w:rPr>
          <w:sz w:val="24"/>
          <w:szCs w:val="24"/>
        </w:rPr>
        <w:t xml:space="preserve">A: Yes. The CARE Act does not exempt employees from performance standards, productivity requirements, or attendance policies. Employers can terminate employees for legitimate performance issues unrelated to the accommodation itself. The protection is against discrimination based on caregiver status, not performance.</w:t>
      </w:r>
    </w:p>
    <w:p>
      <w:pPr>
        <w:spacing w:after="80"/>
      </w:pPr>
      <w:r>
        <w:rPr>
          <w:b/>
          <w:bCs/>
          <w:color w:val="1e3a5f"/>
          <w:sz w:val="26"/>
          <w:szCs w:val="26"/>
        </w:rPr>
        <w:t xml:space="preserve">Q: What is the fiscal impact on Colorado's budget?</w:t>
      </w:r>
    </w:p>
    <w:p>
      <w:pPr>
        <w:spacing w:after="240"/>
      </w:pPr>
      <w:r>
        <w:rPr>
          <w:sz w:val="24"/>
          <w:szCs w:val="24"/>
        </w:rPr>
        <w:t xml:space="preserve">A: Zero general fund appropriation required. Administrative costs are absorbed within existing Colorado Civil Rights Division operations (CCRD currently processes 3,000+ complaints annually; projected caregiver complaints: 80-150). The Act generates estimated $9-18M in annual Medicaid savings through prevented institutional placements.</w:t>
      </w:r>
    </w:p>
    <w:p>
      <w:pPr>
        <w:spacing w:after="80"/>
      </w:pPr>
      <w:r>
        <w:rPr>
          <w:b/>
          <w:bCs/>
          <w:color w:val="1e3a5f"/>
          <w:sz w:val="26"/>
          <w:szCs w:val="26"/>
        </w:rPr>
        <w:t xml:space="preserve">Q: Why is this needed if we already have FMLA and ADA?</w:t>
      </w:r>
    </w:p>
    <w:p>
      <w:pPr>
        <w:spacing w:after="240"/>
      </w:pPr>
      <w:r>
        <w:rPr>
          <w:sz w:val="24"/>
          <w:szCs w:val="24"/>
        </w:rPr>
        <w:t xml:space="preserve">A: FMLA only covers specific leave periods, not ongoing accommodations. ADA only protects the employee's own disability, not caregiving for others. Neither prohibits discrimination based on caregiver status. Example: An employee caring for a parent with dementia has no protection under current law if terminated for requesting schedule flexibility. The CARE Act fills this gap.</w:t>
      </w:r>
    </w:p>
    <w:p>
      <w:pPr>
        <w:spacing w:after="80"/>
      </w:pPr>
      <w:r>
        <w:rPr>
          <w:b/>
          <w:bCs/>
          <w:color w:val="1e3a5f"/>
          <w:sz w:val="26"/>
          <w:szCs w:val="26"/>
        </w:rPr>
        <w:t xml:space="preserve">Q: When would this take effect?</w:t>
      </w:r>
    </w:p>
    <w:p>
      <w:pPr>
        <w:spacing w:after="360"/>
      </w:pPr>
      <w:r>
        <w:rPr>
          <w:sz w:val="24"/>
          <w:szCs w:val="24"/>
        </w:rPr>
        <w:t xml:space="preserve">A: Immediately upon passage. No implementation delay or rulemaking period required. CCRD incorporates caregiver status into existing complaint intake, investigation, and enforcement procedures using established protocols.</w:t>
      </w:r>
    </w:p>
    <w:p>
      <w:pPr>
        <w:pBdr>
          <w:top w:val="single" w:color="1e3a5f" w:sz="6"/>
        </w:pBdr>
        <w:spacing w:before="240"/>
      </w:pPr>
      <w:r>
        <w:t xml:space="preserve"/>
      </w:r>
    </w:p>
    <w:p>
      <w:pPr>
        <w:spacing w:after="60" w:before="120"/>
        <w:jc w:val="center"/>
      </w:pPr>
      <w:r>
        <w:rPr>
          <w:b/>
          <w:bCs/>
          <w:color w:val="1e3a5f"/>
          <w:sz w:val="22"/>
          <w:szCs w:val="22"/>
        </w:rPr>
        <w:t xml:space="preserve">For Legislative Inquiries:</w:t>
      </w:r>
    </w:p>
    <w:p>
      <w:pPr>
        <w:jc w:val="center"/>
      </w:pPr>
      <w:r>
        <w:rPr>
          <w:sz w:val="22"/>
          <w:szCs w:val="22"/>
        </w:rPr>
        <w:t xml:space="preserve">Caregiver Advocacy Support Initiative (CASI)</w:t>
      </w:r>
    </w:p>
    <w:p>
      <w:pPr>
        <w:jc w:val="center"/>
      </w:pPr>
      <w:r>
        <w:rPr>
          <w:color w:val="64748b"/>
          <w:sz w:val="20"/>
          <w:szCs w:val="20"/>
        </w:rPr>
        <w:t xml:space="preserve">Mark Fukae, Founder &amp; Director | mark_fukae@casiadvocacy.org | casiadvocacy.org</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e3a5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2026-02-28T23:51:49.709Z</dcterms:created>
  <dcterms:modified xsi:type="dcterms:W3CDTF">2026-02-28T23:51:49.710Z</dcterms:modified>
</cp:coreProperties>
</file>

<file path=docProps/custom.xml><?xml version="1.0" encoding="utf-8"?>
<Properties xmlns="http://schemas.openxmlformats.org/officeDocument/2006/custom-properties" xmlns:vt="http://schemas.openxmlformats.org/officeDocument/2006/docPropsVTypes"/>
</file>